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20" w:type="dxa"/>
            <w:vAlign w:val="bottom"/>
          </w:tcPr>
          <w:p>
            <w:pPr>
              <w:spacing w:after="0"/>
              <w:rPr>
                <w:sz w:val="18"/>
                <w:szCs w:val="18"/>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May 29, 2024)</w:t>
            </w:r>
          </w:p>
        </w:tc>
        <w:tc>
          <w:tcPr>
            <w:tcW w:w="402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w w:val="97"/>
              </w:rPr>
              <w:t>May 15, 2026</w:t>
            </w:r>
          </w:p>
        </w:tc>
      </w:tr>
    </w:tbl>
    <w:p>
      <w:pPr>
        <w:spacing w:after="0" w:line="200" w:lineRule="exact"/>
        <w:rPr>
          <w:sz w:val="24"/>
          <w:szCs w:val="24"/>
          <w:color w:val="auto"/>
        </w:rPr>
      </w:pPr>
    </w:p>
    <w:p>
      <w:pPr>
        <w:spacing w:after="0" w:line="36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04" w:lineRule="exact"/>
        <w:rPr>
          <w:sz w:val="24"/>
          <w:szCs w:val="24"/>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62"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January 24, 2020 to May 14,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w:t>
      </w:r>
    </w:p>
    <w:p>
      <w:pPr>
        <w:spacing w:after="0" w:line="68" w:lineRule="exact"/>
        <w:rPr>
          <w:sz w:val="24"/>
          <w:szCs w:val="24"/>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ind w:left="458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April 2026 Financial Update</w:t>
      </w:r>
    </w:p>
    <w:p>
      <w:pPr>
        <w:spacing w:after="0" w:line="116" w:lineRule="exact"/>
        <w:rPr>
          <w:sz w:val="20"/>
          <w:szCs w:val="20"/>
          <w:color w:val="auto"/>
        </w:rPr>
      </w:pPr>
    </w:p>
    <w:p>
      <w:pPr>
        <w:ind w:right="1100"/>
        <w:spacing w:after="0" w:line="438" w:lineRule="auto"/>
        <w:rPr>
          <w:sz w:val="20"/>
          <w:szCs w:val="20"/>
          <w:color w:val="auto"/>
        </w:rPr>
      </w:pPr>
      <w:r>
        <w:rPr>
          <w:rFonts w:ascii="Times New Roman" w:cs="Times New Roman" w:eastAsia="Times New Roman" w:hAnsi="Times New Roman"/>
          <w:sz w:val="18"/>
          <w:szCs w:val="18"/>
          <w:color w:val="auto"/>
        </w:rPr>
        <w:t xml:space="preserve">On May 15, 2026, we announced management’s preliminary estimates of certain financial results for the fiscal quarter ended April 30, 2026. </w:t>
      </w:r>
      <w:r>
        <w:rPr>
          <w:rFonts w:ascii="Times New Roman" w:cs="Times New Roman" w:eastAsia="Times New Roman" w:hAnsi="Times New Roman"/>
          <w:sz w:val="18"/>
          <w:szCs w:val="18"/>
          <w:b w:val="1"/>
          <w:bCs w:val="1"/>
          <w:color w:val="auto"/>
        </w:rPr>
        <w:t>PRELIMINARY ESTIMATES OF CERTAIN FINANCIAL RESULTS</w:t>
      </w:r>
    </w:p>
    <w:p>
      <w:pPr>
        <w:spacing w:after="0" w:line="1" w:lineRule="exact"/>
        <w:rPr>
          <w:sz w:val="20"/>
          <w:szCs w:val="20"/>
          <w:color w:val="auto"/>
        </w:rPr>
      </w:pPr>
    </w:p>
    <w:p>
      <w:pPr>
        <w:ind w:left="760" w:right="20" w:hanging="378"/>
        <w:spacing w:after="0" w:line="273"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unaudited estimate of the range of our net asset value (“NAV”) per share of our common stock at April 30, 2026 is between $3.67 and $3.77.</w:t>
      </w:r>
    </w:p>
    <w:p>
      <w:pPr>
        <w:spacing w:after="0" w:line="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unaudited estimate of the range of our net investment income per share of our common stock for the fiscal quarter ended April 30, 2026 is between $0.13 and $0.17.</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we had $89.9 million of term preferred stock outstanding.</w:t>
      </w:r>
    </w:p>
    <w:p>
      <w:pPr>
        <w:spacing w:after="0" w:line="17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unaudited preliminary estimates of certain financial information and results for the fiscal quarter ended April 30, 2026 furnished above are based on management’s preliminary determinations and current expectations, and such information is inherently uncertain. The preliminary estimates provided herein have been prepared by, and are the responsibility of, management and are subject to completion of customary quarter-end closing and review procedures and third-party review, including the determination of the fair value of our portfolio investments, and are not a comprehensive statement of our financial position, results of operations, or cash flows for the quarter ended April 30, 2026. As a result, actual results could differ materially from these preliminary estimates based on potential adjustments made during our quarter-end closing and review procedures and third-party review. Our reported information in our Semi-Annual Report on Form N-CSRS for the period ended April 30, 2026 may differ from this information, and any such differences may be material. In addition, the information furnished above does not include all of the information regarding our financial condition and results of operations for the quarter ended April 30, 2026 that may be important to readers. As a result, readers are cautioned not to place undue reliance on this information and should view this information in the context of our full results when such results are disclosed in our Semi-Annual Report on Form N-CSRS for the period ended April 30, 2026. This information is based on our management’s current expectations that involve substantial risks and uncertainties that could cause actual results to differ materially from the results expressed in, or implied by, such information.</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April 30,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April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Declaration of Monthly Common Stock Distributions</w:t>
      </w:r>
    </w:p>
    <w:p>
      <w:pPr>
        <w:spacing w:after="0" w:line="1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16, 2026, our board of directors declared monthly cash distributions for common stockholders for each of the three months in the quarter ending July 31, 2026.</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schedule applies to the common stock (Nasdaq: OCCI) distributions for stockholders of record on the close of business of each specific record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0" w:type="dxa"/>
            <w:vAlign w:val="bottom"/>
          </w:tcPr>
          <w:p>
            <w:pPr>
              <w:spacing w:after="0"/>
              <w:rPr>
                <w:sz w:val="20"/>
                <w:szCs w:val="20"/>
                <w:color w:val="auto"/>
              </w:rPr>
            </w:pPr>
          </w:p>
        </w:tc>
        <w:tc>
          <w:tcPr>
            <w:tcW w:w="23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 Distribution Per Share</w:t>
            </w:r>
          </w:p>
        </w:tc>
      </w:tr>
      <w:tr>
        <w:trPr>
          <w:trHeight w:val="277"/>
        </w:trPr>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140" w:type="dxa"/>
            <w:vAlign w:val="bottom"/>
            <w:shd w:val="clear" w:color="auto" w:fill="CCEEFF"/>
          </w:tcPr>
          <w:p>
            <w:pPr>
              <w:spacing w:after="0"/>
              <w:rPr>
                <w:sz w:val="24"/>
                <w:szCs w:val="24"/>
                <w:color w:val="auto"/>
              </w:rPr>
            </w:pPr>
          </w:p>
        </w:tc>
        <w:tc>
          <w:tcPr>
            <w:tcW w:w="2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May 15, 2026</w:t>
            </w:r>
          </w:p>
        </w:tc>
        <w:tc>
          <w:tcPr>
            <w:tcW w:w="100" w:type="dxa"/>
            <w:vAlign w:val="bottom"/>
            <w:shd w:val="clear" w:color="auto" w:fill="CCEEFF"/>
          </w:tcPr>
          <w:p>
            <w:pPr>
              <w:spacing w:after="0"/>
              <w:rPr>
                <w:sz w:val="24"/>
                <w:szCs w:val="2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35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r>
      <w:tr>
        <w:trPr>
          <w:trHeight w:val="283"/>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140" w:type="dxa"/>
            <w:vAlign w:val="bottom"/>
          </w:tcPr>
          <w:p>
            <w:pPr>
              <w:spacing w:after="0"/>
              <w:rPr>
                <w:sz w:val="24"/>
                <w:szCs w:val="24"/>
                <w:color w:val="auto"/>
              </w:rPr>
            </w:pPr>
          </w:p>
        </w:tc>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June 15, 2026</w:t>
            </w:r>
          </w:p>
        </w:tc>
        <w:tc>
          <w:tcPr>
            <w:tcW w:w="1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3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r>
      <w:tr>
        <w:trPr>
          <w:trHeight w:val="283"/>
        </w:trPr>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140" w:type="dxa"/>
            <w:vAlign w:val="bottom"/>
            <w:shd w:val="clear" w:color="auto" w:fill="CCEEFF"/>
          </w:tcPr>
          <w:p>
            <w:pPr>
              <w:spacing w:after="0"/>
              <w:rPr>
                <w:sz w:val="24"/>
                <w:szCs w:val="24"/>
                <w:color w:val="auto"/>
              </w:rPr>
            </w:pPr>
          </w:p>
        </w:tc>
        <w:tc>
          <w:tcPr>
            <w:tcW w:w="2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July 15, 2026</w:t>
            </w:r>
          </w:p>
        </w:tc>
        <w:tc>
          <w:tcPr>
            <w:tcW w:w="100" w:type="dxa"/>
            <w:vAlign w:val="bottom"/>
            <w:shd w:val="clear" w:color="auto" w:fill="CCEEFF"/>
          </w:tcPr>
          <w:p>
            <w:pPr>
              <w:spacing w:after="0"/>
              <w:rPr>
                <w:sz w:val="24"/>
                <w:szCs w:val="24"/>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31, 2026</w:t>
            </w:r>
          </w:p>
        </w:tc>
        <w:tc>
          <w:tcPr>
            <w:tcW w:w="35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r>
      <w:tr>
        <w:trPr>
          <w:trHeight w:val="979"/>
        </w:trPr>
        <w:tc>
          <w:tcPr>
            <w:tcW w:w="2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2026-05-15T16:05:10Z</dcterms:created>
  <dcterms:modified xsi:type="dcterms:W3CDTF">2026-05-15T16:05:10Z</dcterms:modified>
</cp:coreProperties>
</file>