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333-277773</w:t>
      </w:r>
    </w:p>
    <w:p>
      <w:pPr>
        <w:sectPr>
          <w:pgSz w:w="11900" w:h="16838" w:orient="portrait"/>
          <w:cols w:equalWidth="0" w:num="1">
            <w:col w:w="11240"/>
          </w:cols>
          <w:pgMar w:left="320" w:top="87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b w:val="1"/>
          <w:bCs w:val="1"/>
          <w:color w:val="auto"/>
        </w:rPr>
        <w:t>(To Prospectus dated May 29, 2024)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June 15, 2026</w:t>
      </w:r>
    </w:p>
    <w:p>
      <w:pPr>
        <w:spacing w:after="0" w:line="222" w:lineRule="exact"/>
        <w:rPr>
          <w:sz w:val="24"/>
          <w:szCs w:val="24"/>
          <w:color w:val="auto"/>
        </w:rPr>
      </w:pPr>
    </w:p>
    <w:p>
      <w:pPr>
        <w:sectPr>
          <w:pgSz w:w="11900" w:h="16838" w:orient="portrait"/>
          <w:cols w:equalWidth="0" w:num="2">
            <w:col w:w="8760" w:space="720"/>
            <w:col w:w="1760"/>
          </w:cols>
          <w:pgMar w:left="320" w:top="873" w:right="339" w:bottom="1440" w:gutter="0" w:footer="0" w:header="0"/>
          <w:type w:val="continuous"/>
        </w:sectPr>
      </w:pPr>
    </w:p>
    <w:p>
      <w:pPr>
        <w:spacing w:after="0" w:line="39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OFS Credit Company, Inc.</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49" w:lineRule="exact"/>
        <w:rPr>
          <w:sz w:val="24"/>
          <w:szCs w:val="24"/>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spacing w:after="0" w:line="104" w:lineRule="exact"/>
        <w:rPr>
          <w:sz w:val="24"/>
          <w:szCs w:val="24"/>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 xml:space="preserve">You should carefully read the entire Prospectus before investing in our common stock. </w:t>
      </w:r>
      <w:r>
        <w:rPr>
          <w:rFonts w:ascii="Times New Roman" w:cs="Times New Roman" w:eastAsia="Times New Roman" w:hAnsi="Times New Roman"/>
          <w:sz w:val="18"/>
          <w:szCs w:val="18"/>
          <w:b w:val="1"/>
          <w:bCs w:val="1"/>
          <w:color w:val="auto"/>
        </w:rPr>
        <w:t>You should also review the information set forth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 section beginning on page 22 of the Base Prospectus.</w:t>
      </w:r>
    </w:p>
    <w:p>
      <w:pPr>
        <w:spacing w:after="0" w:line="9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terms “OFS Credit,” the “Company,” “we,” “us” and “our” generally refer to OFS Credit Company, Inc.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 PURSUANT TO THE “AT THE MARKET” OFFERING</w:t>
      </w:r>
    </w:p>
    <w:p>
      <w:pPr>
        <w:spacing w:after="0" w:line="162" w:lineRule="exact"/>
        <w:rPr>
          <w:sz w:val="24"/>
          <w:szCs w:val="24"/>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January 24, 2020 to June 14, 2026, we sold a total of 18,663,757 shares of common stock at a weighted average price of $8.30 per share under the Equity Distribution Agreement (the “At-the-Market Offering”). The net proceeds as a result of these sales of common stock were approximately $153.1 million after deducting commissions and fees.</w:t>
      </w:r>
    </w:p>
    <w:p>
      <w:pPr>
        <w:spacing w:after="0" w:line="68" w:lineRule="exact"/>
        <w:rPr>
          <w:sz w:val="24"/>
          <w:szCs w:val="24"/>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 OFS Capital Management, LLC, our investment adviser, may, from time to time and in its sole discretion, pay some or all of the commissions payable under the Equity Distribution Agreement or make additional supplemental payments to ensure that the sales price per share of our common stock in connection with the At-the-Market Offering made hereunder will not be less than our current net asset value per share. Any such payments made by the investment adviser will not be subject to reimbursement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ind w:left="4580"/>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May 2026 Financial Update</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15, 2026, we announced that management’s unaudited estimate of the range of our net asset value (“NAV”) per share of our common stock as of May 31, 2026 is between $3.56 and $3.66. This estimate is not a comprehensive statement of our financial condition or results for the month ended May 31, 2026. This estimate did not undergo the Company’s typical quarter-end financial closing procedures. We advise you that current estimates of our NAV per share may differ materially from future NAV estimates or determinations, including the determination for the period ending July 31, 2026, which will be reported in our monthly report on Form N-PORT.</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financial condition, including the fair value of our portfolio investments, and results of operations may be materially impacted after May 31, 2026 by circumstances and events that are not yet known. To the extent our portfolio investments are adversely impacted by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or by other factors, we may experience a material adverse impact on our future NAV, net investment income (“NII”), the underlying value of our investments, our financial condition and the financial condition of our portfolio investments.</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preliminary financial data included in this May 2026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1" w:right="419" w:bottom="1440" w:gutter="0" w:footer="0" w:header="0"/>
        </w:sectPr>
      </w:pPr>
    </w:p>
    <w:bookmarkStart w:id="2" w:name="page3"/>
    <w:bookmarkEnd w:id="2"/>
    <w:p>
      <w:pPr>
        <w:ind w:left="2500"/>
        <w:spacing w:after="0"/>
        <w:rPr>
          <w:sz w:val="20"/>
          <w:szCs w:val="20"/>
          <w:color w:val="auto"/>
        </w:rPr>
      </w:pPr>
      <w:r>
        <w:rPr>
          <w:rFonts w:ascii="Times New Roman" w:cs="Times New Roman" w:eastAsia="Times New Roman" w:hAnsi="Times New Roman"/>
          <w:sz w:val="20"/>
          <w:szCs w:val="20"/>
          <w:b w:val="1"/>
          <w:bCs w:val="1"/>
          <w:color w:val="auto"/>
        </w:rPr>
        <w:t>SECOND QUARTER 2026 HIGHLIGHTS AND FINANCIAL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HIGHLIGHTS</w:t>
      </w:r>
    </w:p>
    <w:p>
      <w:pPr>
        <w:spacing w:after="0" w:line="135" w:lineRule="exact"/>
        <w:rPr>
          <w:sz w:val="20"/>
          <w:szCs w:val="20"/>
          <w:color w:val="auto"/>
        </w:rPr>
      </w:pPr>
    </w:p>
    <w:p>
      <w:pPr>
        <w:ind w:left="760" w:right="220" w:hanging="378"/>
        <w:spacing w:after="0" w:line="256"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NII of $4.4 million, or $0.15 per common share, for the fiscal quarter ended April 30, 2026. This compares to NII of $5.5 million, or $0.19 per common share, for the fiscal quarter ended January 31, 2026. NII decreased for the fiscal quarter ended April 30, 2026, primarily due to a decrease in the interest income yield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on our investment portfolio.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“Results of Operations” below.</w:t>
      </w:r>
    </w:p>
    <w:p>
      <w:pPr>
        <w:spacing w:after="0" w:line="2" w:lineRule="exact"/>
        <w:rPr>
          <w:rFonts w:ascii="Times New Roman" w:cs="Times New Roman" w:eastAsia="Times New Roman" w:hAnsi="Times New Roman"/>
          <w:sz w:val="20"/>
          <w:szCs w:val="20"/>
          <w:color w:val="auto"/>
        </w:rPr>
      </w:pPr>
    </w:p>
    <w:p>
      <w:pPr>
        <w:ind w:left="760" w:right="120" w:hanging="378"/>
        <w:spacing w:after="0" w:line="243"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Core net investment income (“Core NII”)</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of $5.5 million, or $0.19 per common share, for the fiscal quarter ended April 30, 2026. This compares to Core NII of $9.1 million, or $0.32 per common share, for the fiscal quarter ended January 31, 2026. Core NII decreased for the fiscal quarter ended April 30, 2026, primarily due to a $3.4 million decrease in recurring CLO equity cashflows from spread compression in the underlying loan collateral, resulting in weaker cashflow arbitrage.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“Supplemental Information Regarding Core Net Investment Income” below.</w:t>
      </w:r>
    </w:p>
    <w:p>
      <w:pPr>
        <w:spacing w:after="0" w:line="63" w:lineRule="exact"/>
        <w:rPr>
          <w:rFonts w:ascii="Times New Roman" w:cs="Times New Roman" w:eastAsia="Times New Roman" w:hAnsi="Times New Roman"/>
          <w:sz w:val="20"/>
          <w:szCs w:val="20"/>
          <w:color w:val="auto"/>
        </w:rPr>
      </w:pPr>
    </w:p>
    <w:p>
      <w:pPr>
        <w:ind w:left="760" w:right="100" w:hanging="378"/>
        <w:spacing w:after="0" w:line="252"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NAV per common share of $3.72 at April 30, 2026, which decreased by $0.64 from the January 31, 2026 NAV of $4.36. The decrease in NAV was primarily due to a net loss on investments of $0.56 per common share and distributions of $0.215 per common share paid during the quarter which exceeded our quarterly NII of $0.15 per common share.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“Results of Operations” below.</w:t>
      </w:r>
    </w:p>
    <w:p>
      <w:pPr>
        <w:spacing w:after="0" w:line="46" w:lineRule="exact"/>
        <w:rPr>
          <w:rFonts w:ascii="Times New Roman" w:cs="Times New Roman" w:eastAsia="Times New Roman" w:hAnsi="Times New Roman"/>
          <w:sz w:val="20"/>
          <w:szCs w:val="20"/>
          <w:color w:val="auto"/>
        </w:rPr>
      </w:pPr>
    </w:p>
    <w:p>
      <w:pPr>
        <w:ind w:left="760" w:right="220" w:hanging="378"/>
        <w:spacing w:after="0" w:line="233"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During the fiscal quarter ended April 30, 2026, the interest income yield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of our investment portfolio was 11.82%, based on average amortized cost.</w:t>
      </w:r>
    </w:p>
    <w:p>
      <w:pPr>
        <w:spacing w:after="0" w:line="6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April 30, 2026, we did not issue shares of common stock through our At-the-Market offering.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RECENT EVENTS</w:t>
      </w:r>
    </w:p>
    <w:p>
      <w:pPr>
        <w:spacing w:after="0" w:line="121" w:lineRule="exact"/>
        <w:rPr>
          <w:sz w:val="20"/>
          <w:szCs w:val="20"/>
          <w:color w:val="auto"/>
        </w:rPr>
      </w:pPr>
    </w:p>
    <w:p>
      <w:pPr>
        <w:ind w:left="760" w:right="24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April 30, 2026, we redeemed $23.0 million of 6.125% Series C Term Preferred Stock due April 2026 and $3.0 million of 6.00% Series D Term Preferred Stock due June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FINANCIAL HIGHLIGHTS</w:t>
            </w:r>
          </w:p>
        </w:tc>
        <w:tc>
          <w:tcPr>
            <w:tcW w:w="1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5"/>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42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At</w:t>
            </w: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Borders>
              <w:bottom w:val="single" w:sz="8" w:color="CCEEFF"/>
            </w:tcBorders>
          </w:tcPr>
          <w:p>
            <w:pPr>
              <w:spacing w:after="0"/>
              <w:rPr>
                <w:sz w:val="19"/>
                <w:szCs w:val="19"/>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tc>
        <w:tc>
          <w:tcPr>
            <w:tcW w:w="1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22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8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preferred stock - principal</w:t>
            </w:r>
          </w:p>
        </w:tc>
        <w:tc>
          <w:tcPr>
            <w:tcW w:w="1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1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 per common share</w:t>
            </w:r>
          </w:p>
        </w:tc>
        <w:tc>
          <w:tcPr>
            <w:tcW w:w="1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shd w:val="clear" w:color="auto" w:fill="CCEEFF"/>
          </w:tcPr>
          <w:p>
            <w:pPr>
              <w:spacing w:after="0"/>
              <w:rPr>
                <w:sz w:val="18"/>
                <w:szCs w:val="18"/>
                <w:color w:val="auto"/>
              </w:rPr>
            </w:pPr>
          </w:p>
        </w:tc>
      </w:tr>
      <w:tr>
        <w:trPr>
          <w:trHeight w:val="31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Asset coverage ratio</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221.3%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209.4%</w:t>
            </w: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Highlights</w:t>
            </w: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700" w:type="dxa"/>
            <w:vAlign w:val="bottom"/>
            <w:gridSpan w:val="6"/>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For the Fiscal Quarter Ended</w:t>
            </w:r>
          </w:p>
        </w:tc>
      </w:tr>
      <w:tr>
        <w:trPr>
          <w:trHeight w:val="210"/>
        </w:trPr>
        <w:tc>
          <w:tcPr>
            <w:tcW w:w="50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(Per common share)</w:t>
            </w:r>
          </w:p>
        </w:tc>
        <w:tc>
          <w:tcPr>
            <w:tcW w:w="1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570"/>
              <w:spacing w:after="0" w:line="203" w:lineRule="exact"/>
              <w:rPr>
                <w:sz w:val="20"/>
                <w:szCs w:val="20"/>
                <w:color w:val="auto"/>
              </w:rPr>
            </w:pPr>
            <w:r>
              <w:rPr>
                <w:rFonts w:ascii="Times New Roman" w:cs="Times New Roman" w:eastAsia="Times New Roman" w:hAnsi="Times New Roman"/>
                <w:sz w:val="18"/>
                <w:szCs w:val="18"/>
                <w:b w:val="1"/>
                <w:bCs w:val="1"/>
                <w:color w:val="auto"/>
              </w:rPr>
              <w:t>April 30, 2026</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b w:val="1"/>
                <w:bCs w:val="1"/>
                <w:color w:val="auto"/>
              </w:rPr>
              <w:t>January 31, 2026</w:t>
            </w:r>
          </w:p>
        </w:tc>
        <w:tc>
          <w:tcPr>
            <w:tcW w:w="100" w:type="dxa"/>
            <w:vAlign w:val="bottom"/>
            <w:tcBorders>
              <w:bottom w:val="single" w:sz="8" w:color="CCEEFF"/>
            </w:tcBorders>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(0.94)</w:t>
            </w:r>
          </w:p>
        </w:tc>
      </w:tr>
      <w:tr>
        <w:trPr>
          <w:trHeight w:val="223"/>
        </w:trPr>
        <w:tc>
          <w:tcPr>
            <w:tcW w:w="5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Loss on redemption of preferred stock</w:t>
            </w:r>
            <w:r>
              <w:rPr>
                <w:rFonts w:ascii="Times New Roman" w:cs="Times New Roman" w:eastAsia="Times New Roman" w:hAnsi="Times New Roman"/>
                <w:sz w:val="24"/>
                <w:szCs w:val="24"/>
                <w:color w:val="auto"/>
                <w:vertAlign w:val="superscript"/>
              </w:rPr>
              <w:t>4</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Core NII — Non-GAAP</w:t>
            </w:r>
            <w:r>
              <w:rPr>
                <w:rFonts w:ascii="Times New Roman" w:cs="Times New Roman" w:eastAsia="Times New Roman" w:hAnsi="Times New Roman"/>
                <w:sz w:val="24"/>
                <w:szCs w:val="24"/>
                <w:color w:val="auto"/>
                <w:vertAlign w:val="superscript"/>
              </w:rPr>
              <w:t>2</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5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8"/>
                <w:szCs w:val="18"/>
                <w:color w:val="auto"/>
              </w:rPr>
            </w:pPr>
          </w:p>
        </w:tc>
      </w:tr>
      <w:tr>
        <w:trPr>
          <w:trHeight w:val="223"/>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CLO equity adjustments</w:t>
            </w:r>
          </w:p>
        </w:tc>
        <w:tc>
          <w:tcPr>
            <w:tcW w:w="1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tcPr>
          <w:p>
            <w:pPr>
              <w:spacing w:after="0"/>
              <w:rPr>
                <w:sz w:val="19"/>
                <w:szCs w:val="19"/>
                <w:color w:val="auto"/>
              </w:rPr>
            </w:pPr>
          </w:p>
        </w:tc>
      </w:tr>
      <w:tr>
        <w:trPr>
          <w:trHeight w:val="25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NII</w:t>
            </w: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946"/>
        </w:trPr>
        <w:tc>
          <w:tcPr>
            <w:tcW w:w="50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ACTIVITIES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April 30, 2026, the total fair value of our investment portfolio was $197.4 million, comprised of broadly syndicated loan CLOs and middle-market loan CLOs with a total fair value of $193.6 million and $3.8 million, respectively. For the fiscal quarter ended April 30, 2026, our CLO equity cash flow yield</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was 13.79% based on amortized cost.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Overview ($ in millions)</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At</w:t>
            </w: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530"/>
              <w:spacing w:after="0" w:line="203" w:lineRule="exact"/>
              <w:rPr>
                <w:sz w:val="20"/>
                <w:szCs w:val="20"/>
                <w:color w:val="auto"/>
              </w:rPr>
            </w:pPr>
            <w:r>
              <w:rPr>
                <w:rFonts w:ascii="Times New Roman" w:cs="Times New Roman" w:eastAsia="Times New Roman" w:hAnsi="Times New Roman"/>
                <w:sz w:val="18"/>
                <w:szCs w:val="18"/>
                <w:b w:val="1"/>
                <w:bCs w:val="1"/>
                <w:color w:val="auto"/>
              </w:rPr>
              <w:t>April 30, 2026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issuers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Weighted-average effective yield</w:t>
            </w:r>
            <w:r>
              <w:rPr>
                <w:rFonts w:ascii="Times New Roman" w:cs="Times New Roman" w:eastAsia="Times New Roman" w:hAnsi="Times New Roman"/>
                <w:sz w:val="24"/>
                <w:szCs w:val="24"/>
                <w:color w:val="auto"/>
                <w:vertAlign w:val="superscript"/>
              </w:rPr>
              <w:t>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April 30, 2026, we received net proceeds of $21.0 million from the repayment and sale of portfolio investments, which were primarily used to redeem shares of our 6.125% Series C Term Preferred Stock due April 2026 and 6.00% Series D Term Preferred Stock due June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Purchases ($ in millions)</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60" w:type="dxa"/>
            <w:vAlign w:val="bottom"/>
            <w:gridSpan w:val="5"/>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For the Fiscal Quarter Ended</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equity investments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CLO debt investments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accumulation facility investments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CLO equity-related investments (i.e., fee rebates)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effective yield - period end</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 ($ in millions)</w:t>
            </w:r>
          </w:p>
        </w:tc>
        <w:tc>
          <w:tcPr>
            <w:tcW w:w="3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At April 30, 2026</w:t>
            </w:r>
          </w:p>
        </w:tc>
        <w:tc>
          <w:tcPr>
            <w:tcW w:w="1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equity investments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accumulation facility investments</w:t>
            </w:r>
          </w:p>
        </w:tc>
        <w:tc>
          <w:tcPr>
            <w:tcW w:w="3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CLO equity-related investments (i.e., fee rebates)</w:t>
            </w:r>
          </w:p>
        </w:tc>
        <w:tc>
          <w:tcPr>
            <w:tcW w:w="34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301.9</w:t>
            </w:r>
          </w:p>
        </w:tc>
        <w:tc>
          <w:tcPr>
            <w:tcW w:w="240" w:type="dxa"/>
            <w:vAlign w:val="bottom"/>
          </w:tcPr>
          <w:p>
            <w:pPr>
              <w:spacing w:after="0"/>
              <w:rPr>
                <w:sz w:val="17"/>
                <w:szCs w:val="17"/>
                <w:color w:val="auto"/>
              </w:rPr>
            </w:pPr>
          </w:p>
        </w:tc>
        <w:tc>
          <w:tcPr>
            <w:tcW w:w="620" w:type="dxa"/>
            <w:vAlign w:val="bottom"/>
            <w:tcBorders>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During the fiscal quarter ended April 30, 2026, interest income decreased to $9.2 million from $11.0 million during the prior quarter. The decrease in interest income was primarily due to a decrease in the interest income yield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7"/>
          <w:szCs w:val="17"/>
          <w:color w:val="auto"/>
        </w:rPr>
        <w:t xml:space="preserve"> on our investment portfolio and a smaller average investment portfolio, at cost.</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9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April 30, 2026, total expenses decreased by $0.7 million to $4.8 million, primarily due to an aggregate decrease of $0.5 million in base management and incentive fees.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 (Loss) on Investments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April 30, 2026, net loss on investments of $16.5 million was due to net realized losses of $7.5 million and net unrealized depreciation of $9.0 million. The net unrealized depreciation was primarily driven by significant declines in loan prices, a challenging CLO equity cash flow arbitrage environment and a modest increase in loan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at fair value (amortized cost of $301,855,800)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(net of deferred issuance costs of $1,578,081)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Payable to adviser and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assets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240" w:right="1300" w:hanging="224"/>
        <w:spacing w:after="0" w:line="250" w:lineRule="auto"/>
        <w:rPr>
          <w:sz w:val="20"/>
          <w:szCs w:val="20"/>
          <w:color w:val="auto"/>
        </w:rPr>
      </w:pPr>
      <w:r>
        <w:rPr>
          <w:rFonts w:ascii="Times New Roman" w:cs="Times New Roman" w:eastAsia="Times New Roman" w:hAnsi="Times New Roman"/>
          <w:sz w:val="18"/>
          <w:szCs w:val="18"/>
          <w:color w:val="auto"/>
        </w:rPr>
        <w:t>Common stock, par value of $0.001 per share; 90,000,000 shares authorized and 29,314,350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Paid-in capital in excess of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accumulated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 value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April 30, 2026</w:t>
            </w:r>
          </w:p>
        </w:tc>
        <w:tc>
          <w:tcPr>
            <w:tcW w:w="60" w:type="dxa"/>
            <w:vAlign w:val="bottom"/>
          </w:tcPr>
          <w:p>
            <w:pPr>
              <w:spacing w:after="0"/>
              <w:rPr>
                <w:sz w:val="21"/>
                <w:szCs w:val="21"/>
                <w:color w:val="auto"/>
              </w:rPr>
            </w:pPr>
          </w:p>
        </w:tc>
      </w:tr>
      <w:tr>
        <w:trPr>
          <w:trHeight w:val="414"/>
        </w:trPr>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197,361,071</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2,334,934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349,082</w:t>
            </w:r>
          </w:p>
        </w:tc>
        <w:tc>
          <w:tcPr>
            <w:tcW w:w="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325,198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200,370,285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88,321,919</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2,453,566</w:t>
            </w:r>
          </w:p>
        </w:tc>
        <w:tc>
          <w:tcPr>
            <w:tcW w:w="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560,600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91,336,085</w:t>
            </w:r>
          </w:p>
        </w:tc>
        <w:tc>
          <w:tcPr>
            <w:tcW w:w="60" w:type="dxa"/>
            <w:vAlign w:val="bottom"/>
          </w:tcPr>
          <w:p>
            <w:pPr>
              <w:spacing w:after="0"/>
              <w:rPr>
                <w:sz w:val="19"/>
                <w:szCs w:val="19"/>
                <w:color w:val="auto"/>
              </w:rPr>
            </w:pPr>
          </w:p>
        </w:tc>
      </w:tr>
      <w:tr>
        <w:trPr>
          <w:trHeight w:val="432"/>
        </w:trPr>
        <w:tc>
          <w:tcPr>
            <w:tcW w:w="480" w:type="dxa"/>
            <w:vAlign w:val="bottom"/>
            <w:tcBorders>
              <w:bottom w:val="single" w:sz="8" w:color="auto"/>
            </w:tcBorders>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109,034,200</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6"/>
        </w:trPr>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224,638,255</w:t>
            </w:r>
          </w:p>
        </w:tc>
        <w:tc>
          <w:tcPr>
            <w:tcW w:w="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(115,633,369)</w:t>
            </w:r>
          </w:p>
        </w:tc>
      </w:tr>
      <w:tr>
        <w:trPr>
          <w:trHeight w:val="216"/>
        </w:trPr>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109,034,200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24"/>
                <w:szCs w:val="24"/>
                <w:color w:val="auto"/>
              </w:rPr>
            </w:pPr>
          </w:p>
        </w:tc>
      </w:tr>
    </w:tbl>
    <w:p>
      <w:pPr>
        <w:sectPr>
          <w:pgSz w:w="11900" w:h="16838" w:orient="portrait"/>
          <w:cols w:equalWidth="0" w:num="2">
            <w:col w:w="7100" w:space="720"/>
            <w:col w:w="3360"/>
          </w:cols>
          <w:pgMar w:left="320" w:top="765"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7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6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20" w:type="dxa"/>
            <w:vAlign w:val="bottom"/>
          </w:tcPr>
          <w:p>
            <w:pPr>
              <w:spacing w:after="0"/>
              <w:rPr>
                <w:sz w:val="21"/>
                <w:szCs w:val="21"/>
                <w:color w:val="auto"/>
              </w:rPr>
            </w:pPr>
          </w:p>
        </w:tc>
        <w:tc>
          <w:tcPr>
            <w:tcW w:w="17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April 30, 2026</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6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9,202,393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20,181,944</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4,266,705</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Incentive fees</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2,464,554</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Base management fees</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1,951,297</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Administration fees</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645,645</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526,151</w:t>
            </w:r>
          </w:p>
        </w:tc>
        <w:tc>
          <w:tcPr>
            <w:tcW w:w="120" w:type="dxa"/>
            <w:vAlign w:val="bottom"/>
            <w:shd w:val="clear" w:color="auto" w:fill="CCEEFF"/>
          </w:tcPr>
          <w:p>
            <w:pPr>
              <w:spacing w:after="0"/>
              <w:rPr>
                <w:sz w:val="18"/>
                <w:szCs w:val="18"/>
                <w:color w:val="auto"/>
              </w:rPr>
            </w:pPr>
          </w:p>
        </w:tc>
      </w:tr>
      <w:tr>
        <w:trPr>
          <w:trHeight w:val="223"/>
        </w:trPr>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469,378</w:t>
            </w:r>
          </w:p>
        </w:tc>
        <w:tc>
          <w:tcPr>
            <w:tcW w:w="120" w:type="dxa"/>
            <w:vAlign w:val="bottom"/>
            <w:tcBorders>
              <w:bottom w:val="single" w:sz="8" w:color="CCEEFF"/>
            </w:tcBorders>
          </w:tcPr>
          <w:p>
            <w:pPr>
              <w:spacing w:after="0"/>
              <w:rPr>
                <w:sz w:val="19"/>
                <w:szCs w:val="19"/>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4,822,671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10,323,730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4,379,722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9,858,214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gain (loss) on investments:</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60" w:type="dxa"/>
            <w:vAlign w:val="bottom"/>
          </w:tcPr>
          <w:p>
            <w:pPr>
              <w:spacing w:after="0"/>
              <w:rPr>
                <w:sz w:val="18"/>
                <w:szCs w:val="18"/>
                <w:color w:val="auto"/>
              </w:rPr>
            </w:pPr>
          </w:p>
        </w:tc>
        <w:tc>
          <w:tcPr>
            <w:tcW w:w="2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(7,491,118)</w:t>
            </w:r>
          </w:p>
        </w:tc>
        <w:tc>
          <w:tcPr>
            <w:tcW w:w="1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(8,103,045)</w:t>
            </w:r>
          </w:p>
        </w:tc>
      </w:tr>
      <w:tr>
        <w:trPr>
          <w:trHeight w:val="236"/>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16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(8,976,648)</w:t>
            </w: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(35,537,271)</w:t>
            </w:r>
          </w:p>
        </w:tc>
      </w:tr>
      <w:tr>
        <w:trPr>
          <w:trHeight w:val="203"/>
        </w:trPr>
        <w:tc>
          <w:tcPr>
            <w:tcW w:w="6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on investments</w:t>
            </w:r>
          </w:p>
        </w:tc>
        <w:tc>
          <w:tcPr>
            <w:tcW w:w="1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(16,467,766)</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(43,640,316)</w:t>
            </w:r>
          </w:p>
        </w:tc>
        <w:tc>
          <w:tcPr>
            <w:tcW w:w="120" w:type="dxa"/>
            <w:vAlign w:val="bottom"/>
            <w:tcBorders>
              <w:top w:val="single" w:sz="8" w:color="CCEEFF"/>
            </w:tcBorders>
          </w:tcPr>
          <w:p>
            <w:pPr>
              <w:spacing w:after="0"/>
              <w:rPr>
                <w:sz w:val="17"/>
                <w:szCs w:val="17"/>
                <w:color w:val="auto"/>
              </w:rPr>
            </w:pPr>
          </w:p>
        </w:tc>
      </w:tr>
      <w:tr>
        <w:trPr>
          <w:trHeight w:val="236"/>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redemption of preferred stock</w:t>
            </w:r>
          </w:p>
        </w:tc>
        <w:tc>
          <w:tcPr>
            <w:tcW w:w="16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(13,360)</w:t>
            </w: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r>
      <w:tr>
        <w:trPr>
          <w:trHeight w:val="203"/>
        </w:trPr>
        <w:tc>
          <w:tcPr>
            <w:tcW w:w="6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decrease in net assets resulting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(12,101,404</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(33,795,462</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29,195,385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28,700,140</w:t>
            </w:r>
          </w:p>
        </w:tc>
        <w:tc>
          <w:tcPr>
            <w:tcW w:w="120" w:type="dxa"/>
            <w:vAlign w:val="bottom"/>
          </w:tcPr>
          <w:p>
            <w:pPr>
              <w:spacing w:after="0"/>
              <w:rPr>
                <w:sz w:val="20"/>
                <w:szCs w:val="20"/>
                <w:color w:val="auto"/>
              </w:rPr>
            </w:pPr>
          </w:p>
        </w:tc>
      </w:tr>
      <w:tr>
        <w:trPr>
          <w:trHeight w:val="1015"/>
        </w:trPr>
        <w:tc>
          <w:tcPr>
            <w:tcW w:w="6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Supplemental Information Regarding Core Net Investment Income</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provide information relating to Core NII (a non-GAAP measure) on a supplemental basis. This measure is not provided as a substitute for GAAP NII, but in addition to it. Our non-GAAP measures may differ from similar measures by other companies, even if similar terms are used to identify such measures. Core NII represents GAAP NII adjusted for differences in applicable cash distributions received on our CLO equity and equity-related investments that have not been optionally redeemed relative to income recognized in accordance with GAAP. OFS Capital Management, LLC, our investment adviser, uses this information in its internal analysis of results and believes that this information may be informative in gauging the quality of the Company’s financial performance, identifying trends in its results, and providing meaningful period-to-period comparisons.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Income from investments in the “equity” class securities of CLO vehicles, for GAAP purposes, is recorded using the effective interest method; this is based on an estimated effective yield, at current amortized cost, to the expected redemption of the security utilizing assumed cash flows, including those CLO equity investments that have not made their inaugural distribution for the relevant period end. The result is an estimated effective yield for the investment in which the respective investment’s cost basis is adjusted quarterly based on the difference between the actual cash received, or distributions entitled to be received, and the income recognized via the estimated effective yield calculation. Accordingly, investment income recognized on CLO equity and equity-related securities in the GAAP statement of operations differs from the cash distributions actually received by the Company during the period (referred to below as “CLO equity adjustments”). Therefore, management believes that Core NII may provide a useful indicator of distributable operating income, as this reflects a measure of potential cash availability, net of operating expenses, that could be utilized to cover distributions to common stockholders. We note that this non-GAAP measure has no bearing on the tax character of the common stock distributions made during the period, and future distributions are not guaranteed. A portion of current and future common stock distributions may consist of a return of capital for tax purposes. The actual tax character of our earnings cannot be finally determined until our tax return is prepared after the close of our taxable year.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GAAP NII to Core NII for the fiscal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For the Fiscal Quarter Ended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 the Fiscal Quarter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8"/>
        </w:trPr>
        <w:tc>
          <w:tcPr>
            <w:tcW w:w="3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11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31, 2026</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81"/>
        </w:trPr>
        <w:tc>
          <w:tcPr>
            <w:tcW w:w="3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Per Common Share</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Per Common Share</w:t>
            </w:r>
          </w:p>
        </w:tc>
        <w:tc>
          <w:tcPr>
            <w:tcW w:w="100" w:type="dxa"/>
            <w:vAlign w:val="bottom"/>
          </w:tcPr>
          <w:p>
            <w:pPr>
              <w:spacing w:after="0"/>
              <w:rPr>
                <w:sz w:val="15"/>
                <w:szCs w:val="15"/>
                <w:color w:val="auto"/>
              </w:rPr>
            </w:pPr>
          </w:p>
        </w:tc>
      </w:tr>
      <w:tr>
        <w:trPr>
          <w:trHeight w:val="245"/>
        </w:trPr>
        <w:tc>
          <w:tcPr>
            <w:tcW w:w="39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4,379,722</w:t>
            </w:r>
          </w:p>
        </w:tc>
        <w:tc>
          <w:tcPr>
            <w:tcW w:w="28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5,478,493</w:t>
            </w:r>
          </w:p>
        </w:tc>
        <w:tc>
          <w:tcPr>
            <w:tcW w:w="26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CLO equity adjustments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3,631,157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tcPr>
          <w:p>
            <w:pPr>
              <w:spacing w:after="0"/>
              <w:rPr>
                <w:sz w:val="19"/>
                <w:szCs w:val="19"/>
                <w:color w:val="auto"/>
              </w:rPr>
            </w:pPr>
          </w:p>
        </w:tc>
      </w:tr>
      <w:tr>
        <w:trPr>
          <w:trHeight w:val="256"/>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NII</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5,483,416</w:t>
            </w: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9,109,650</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GAAP NII to Core NII for the six months ended April 30, 2026 and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58"/>
        </w:trPr>
        <w:tc>
          <w:tcPr>
            <w:tcW w:w="3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11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81"/>
        </w:trPr>
        <w:tc>
          <w:tcPr>
            <w:tcW w:w="3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Per Common Share</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Per Common Share</w:t>
            </w:r>
          </w:p>
        </w:tc>
        <w:tc>
          <w:tcPr>
            <w:tcW w:w="100" w:type="dxa"/>
            <w:vAlign w:val="bottom"/>
          </w:tcPr>
          <w:p>
            <w:pPr>
              <w:spacing w:after="0"/>
              <w:rPr>
                <w:sz w:val="15"/>
                <w:szCs w:val="15"/>
                <w:color w:val="auto"/>
              </w:rPr>
            </w:pPr>
          </w:p>
        </w:tc>
      </w:tr>
      <w:tr>
        <w:trPr>
          <w:trHeight w:val="245"/>
        </w:trPr>
        <w:tc>
          <w:tcPr>
            <w:tcW w:w="3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9,858,214</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10,323,158</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CLO equity adjustments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4,734,852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6,414,896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tcPr>
          <w:p>
            <w:pPr>
              <w:spacing w:after="0"/>
              <w:rPr>
                <w:sz w:val="19"/>
                <w:szCs w:val="19"/>
                <w:color w:val="auto"/>
              </w:rPr>
            </w:pPr>
          </w:p>
        </w:tc>
      </w:tr>
      <w:tr>
        <w:trPr>
          <w:trHeight w:val="256"/>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NII</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14,593,066</w:t>
            </w: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16,738,054</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46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420" w:firstLine="8"/>
        <w:spacing w:after="0" w:line="223" w:lineRule="auto"/>
        <w:tabs>
          <w:tab w:leader="none" w:pos="9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Interest income yield is calculated as total investment income earned on the investment portfolio (excluding idle cash interest income) divided by the average total investments at cost (annualized).</w:t>
      </w:r>
    </w:p>
    <w:p>
      <w:pPr>
        <w:spacing w:after="0" w:line="37" w:lineRule="exact"/>
        <w:rPr>
          <w:sz w:val="20"/>
          <w:szCs w:val="20"/>
          <w:color w:val="auto"/>
        </w:rPr>
      </w:pPr>
    </w:p>
    <w:p>
      <w:pPr>
        <w:ind w:right="60" w:firstLine="8"/>
        <w:spacing w:after="0" w:line="236"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On a supplemental basis, we disclose Core NII, which is a financial measure calculated and presented on a basis of methodology other than in accordance with accounting principles generally accepted in the United States of America (“GAAP”). Core NII represents NII adjusted for differences in applicable cash distributions received on our CLO equity and equity-related investments that have not been optionally redeemed relative to income recognized in accordance with GAAP.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“Supplemental Information Regarding Core Net Investment Income” above.</w:t>
      </w:r>
    </w:p>
    <w:p>
      <w:pPr>
        <w:spacing w:after="0" w:line="23" w:lineRule="exact"/>
        <w:rPr>
          <w:sz w:val="20"/>
          <w:szCs w:val="20"/>
          <w:color w:val="auto"/>
        </w:rPr>
      </w:pPr>
    </w:p>
    <w:p>
      <w:pPr>
        <w:ind w:right="20" w:firstLine="8"/>
        <w:spacing w:after="0" w:line="236" w:lineRule="auto"/>
        <w:tabs>
          <w:tab w:leader="none" w:pos="9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Under the Investment Company Act of 1940, as amended, we are permitted to issue senior securities, including preferred stock, provided that we maintain an asset coverage of at least 200% for senior securities representing indebtedness plus preferred stock, and 300% in the case of senior securities representing indebtedness. Asset coverage of senior securities representing preferred stock is calculated as the ratio of our total consolidated assets, less all liabilities and indebtedness not represented by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securities, divided by the aggregate amount of our outstanding preferred stock and debt. Asset coverage of senior securities representing indebtedness is calculated as the ratio of our total consolidated assets, less all liabilities and indebtedness not represented by senior securities, divided by the aggregate amount of our outstanding debt.</w:t>
      </w:r>
    </w:p>
    <w:p>
      <w:pPr>
        <w:ind w:left="100" w:hanging="92"/>
        <w:spacing w:after="0" w:line="215" w:lineRule="auto"/>
        <w:tabs>
          <w:tab w:leader="none" w:pos="1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the fiscal quarter ended April 30, 2026, loss on redemption of preferred stock rounds to less than $(0.01) per common share.</w:t>
      </w:r>
    </w:p>
    <w:p>
      <w:pPr>
        <w:spacing w:after="0" w:line="28" w:lineRule="exact"/>
        <w:rPr>
          <w:sz w:val="20"/>
          <w:szCs w:val="20"/>
          <w:color w:val="auto"/>
        </w:rPr>
      </w:pPr>
    </w:p>
    <w:p>
      <w:pPr>
        <w:ind w:firstLine="8"/>
        <w:spacing w:after="0" w:line="221" w:lineRule="auto"/>
        <w:tabs>
          <w:tab w:leader="none" w:pos="9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Weighted based on fair value of total investments as of April 30, 2026. The reinvestment period for loan accumulation facilities is estimated assuming the conversion to a CLO.</w:t>
      </w:r>
    </w:p>
    <w:p>
      <w:pPr>
        <w:spacing w:after="0" w:line="36" w:lineRule="exact"/>
        <w:rPr>
          <w:sz w:val="20"/>
          <w:szCs w:val="20"/>
          <w:color w:val="auto"/>
        </w:rPr>
      </w:pPr>
    </w:p>
    <w:p>
      <w:pPr>
        <w:ind w:right="100" w:firstLine="8"/>
        <w:spacing w:after="0" w:line="223" w:lineRule="auto"/>
        <w:tabs>
          <w:tab w:leader="none" w:pos="9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Calculated as CLO equity and equity-related cash distributions received during the quarter, excluding distributions on CLO equity investments that have been optionally redeemed, divided by average CLO equity and equity-related investments at amortized cost (annualized).</w:t>
      </w:r>
    </w:p>
    <w:p>
      <w:pPr>
        <w:ind w:left="100" w:hanging="92"/>
        <w:spacing w:after="0" w:line="236" w:lineRule="auto"/>
        <w:tabs>
          <w:tab w:leader="none" w:pos="1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amortized cost at period end; excludes discount accretion on CLO debt investments, if applicable.</w:t>
      </w:r>
    </w:p>
    <w:p>
      <w:pPr>
        <w:spacing w:after="0" w:line="42"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Registration does not imply a certain level of skill or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80"/>
      </w:cols>
      <w:pgMar w:left="320" w:top="76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6"/>
      <w:numFmt w:val="bullet"/>
      <w:start w:val="1"/>
    </w:lvl>
  </w:abstractNum>
  <w:abstractNum w:abstractNumId="8">
    <w:nsid w:val="5BD062C2"/>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2026-06-15T16:30:32Z</dcterms:created>
  <dcterms:modified xsi:type="dcterms:W3CDTF">2026-06-15T16:30:32Z</dcterms:modified>
</cp:coreProperties>
</file>